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39511F62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7B7791">
        <w:rPr>
          <w:rFonts w:ascii="Arial" w:eastAsia="Times New Roman" w:hAnsi="Arial" w:cs="Arial"/>
          <w:b/>
          <w:sz w:val="28"/>
          <w:szCs w:val="20"/>
          <w:lang w:eastAsia="en-AU"/>
        </w:rPr>
        <w:t>2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8C5A6F">
        <w:rPr>
          <w:rFonts w:ascii="Arial" w:eastAsia="Times New Roman" w:hAnsi="Arial" w:cs="Arial"/>
          <w:b/>
          <w:sz w:val="28"/>
          <w:szCs w:val="20"/>
          <w:lang w:eastAsia="en-AU"/>
        </w:rPr>
        <w:t>NSW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23116D3C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7B7791">
        <w:rPr>
          <w:rFonts w:ascii="Arial" w:hAnsi="Arial" w:cs="Arial"/>
        </w:rPr>
        <w:t>2</w:t>
      </w:r>
      <w:r w:rsidRPr="008F194F">
        <w:rPr>
          <w:rFonts w:ascii="Arial" w:hAnsi="Arial" w:cs="Arial"/>
        </w:rPr>
        <w:t xml:space="preserve">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</w:t>
      </w:r>
      <w:r w:rsidR="008C5A6F">
        <w:rPr>
          <w:rFonts w:ascii="Arial" w:hAnsi="Arial" w:cs="Arial"/>
        </w:rPr>
        <w:t>(</w:t>
      </w:r>
      <w:r w:rsidR="008C5A6F" w:rsidRPr="008C5A6F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39E1D9A9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8C5A6F">
        <w:rPr>
          <w:rFonts w:ascii="Arial" w:hAnsi="Arial" w:cs="Arial"/>
          <w:b/>
          <w:u w:val="single"/>
        </w:rPr>
        <w:t>NSW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8C5A6F">
        <w:rPr>
          <w:rFonts w:ascii="Arial" w:hAnsi="Arial" w:cs="Arial"/>
          <w:b/>
          <w:u w:val="single"/>
        </w:rPr>
        <w:t xml:space="preserve">Friday 4 November 2022 </w:t>
      </w:r>
      <w:r>
        <w:rPr>
          <w:rFonts w:ascii="Arial" w:hAnsi="Arial" w:cs="Arial"/>
          <w:b/>
          <w:u w:val="single"/>
        </w:rPr>
        <w:t>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3E5862AE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8C5A6F">
        <w:rPr>
          <w:rFonts w:ascii="Arial" w:hAnsi="Arial" w:cs="Arial"/>
          <w:b/>
          <w:bCs/>
        </w:rPr>
        <w:t>5:30pm</w:t>
      </w:r>
      <w:r w:rsidR="0051732E" w:rsidRPr="0051732E">
        <w:rPr>
          <w:rFonts w:ascii="Arial" w:hAnsi="Arial" w:cs="Arial"/>
          <w:b/>
        </w:rPr>
        <w:t xml:space="preserve"> on </w:t>
      </w:r>
      <w:r w:rsidR="008C5A6F">
        <w:rPr>
          <w:rFonts w:ascii="Arial" w:hAnsi="Arial" w:cs="Arial"/>
          <w:b/>
        </w:rPr>
        <w:t>Sunday 20 November 2022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77777777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</w:p>
    <w:p w14:paraId="1DEEFF5A" w14:textId="71736FD8" w:rsidR="002030C3" w:rsidRDefault="008C5A6F" w:rsidP="008C5A6F">
      <w:pPr>
        <w:pStyle w:val="NoSpacing"/>
        <w:ind w:firstLine="720"/>
        <w:jc w:val="both"/>
        <w:rPr>
          <w:rFonts w:ascii="Arial" w:hAnsi="Arial" w:cs="Arial"/>
          <w:b/>
        </w:rPr>
      </w:pPr>
      <w:hyperlink r:id="rId7" w:history="1">
        <w:r w:rsidRPr="005F1E45">
          <w:rPr>
            <w:rStyle w:val="Hyperlink"/>
            <w:rFonts w:ascii="Arial" w:hAnsi="Arial" w:cs="Arial"/>
            <w:b/>
          </w:rPr>
          <w:t>wsoon@fjc.net.au</w:t>
        </w:r>
      </w:hyperlink>
    </w:p>
    <w:p w14:paraId="71F982A1" w14:textId="77777777" w:rsidR="008C5A6F" w:rsidRDefault="008C5A6F" w:rsidP="008C5A6F">
      <w:pPr>
        <w:pStyle w:val="NoSpacing"/>
        <w:ind w:firstLine="720"/>
        <w:jc w:val="both"/>
        <w:rPr>
          <w:rFonts w:ascii="Arial" w:hAnsi="Arial" w:cs="Arial"/>
        </w:rPr>
      </w:pPr>
    </w:p>
    <w:p w14:paraId="442FAE36" w14:textId="52DD743B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8C5A6F">
        <w:rPr>
          <w:rFonts w:ascii="Arial" w:hAnsi="Arial" w:cs="Arial"/>
          <w:b/>
          <w:bCs/>
        </w:rPr>
        <w:t>6:00pm Monday 21 November 2022.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21D797AA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8C5A6F">
        <w:rPr>
          <w:rFonts w:ascii="Arial" w:hAnsi="Arial" w:cs="Arial"/>
        </w:rPr>
        <w:t xml:space="preserve"> NSW </w:t>
      </w:r>
      <w:r w:rsidR="007E350E">
        <w:rPr>
          <w:rFonts w:ascii="Arial" w:hAnsi="Arial" w:cs="Arial"/>
        </w:rPr>
        <w:t>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78F16342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8C5A6F">
        <w:rPr>
          <w:rFonts w:ascii="Arial" w:hAnsi="Arial" w:cs="Arial"/>
        </w:rPr>
        <w:t>NSW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7B7791">
        <w:rPr>
          <w:rFonts w:ascii="Arial" w:hAnsi="Arial" w:cs="Arial"/>
        </w:rPr>
        <w:t>2</w:t>
      </w:r>
      <w:r w:rsidRPr="002D3357">
        <w:rPr>
          <w:rFonts w:ascii="Arial" w:hAnsi="Arial" w:cs="Arial"/>
        </w:rPr>
        <w:t xml:space="preserve">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 xml:space="preserve">Meeting </w:t>
      </w:r>
      <w:r w:rsidR="008C5A6F">
        <w:rPr>
          <w:rFonts w:ascii="Arial" w:hAnsi="Arial" w:cs="Arial"/>
        </w:rPr>
        <w:t>(</w:t>
      </w:r>
      <w:r w:rsidR="008C5A6F" w:rsidRPr="008C5A6F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763B9464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8C5A6F">
        <w:rPr>
          <w:rFonts w:ascii="Arial" w:hAnsi="Arial" w:cs="Arial"/>
        </w:rPr>
        <w:t xml:space="preserve">NSW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at </w:t>
      </w:r>
      <w:r w:rsidR="008C5A6F">
        <w:rPr>
          <w:rFonts w:ascii="Arial" w:hAnsi="Arial" w:cs="Arial"/>
        </w:rPr>
        <w:t>Ashurst (Sydney) 6:00pm (Sydney) on Monday 21 November 2022</w:t>
      </w:r>
      <w:bookmarkStart w:id="0" w:name="_GoBack"/>
      <w:bookmarkEnd w:id="0"/>
      <w:r w:rsidR="00970300">
        <w:rPr>
          <w:rFonts w:ascii="Arial" w:hAnsi="Arial" w:cs="Arial"/>
        </w:rPr>
        <w:t xml:space="preserve">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5FD6" w14:textId="77777777" w:rsidR="00392057" w:rsidRDefault="00392057" w:rsidP="002030C3">
      <w:r>
        <w:separator/>
      </w:r>
    </w:p>
  </w:endnote>
  <w:endnote w:type="continuationSeparator" w:id="0">
    <w:p w14:paraId="577FA7B3" w14:textId="77777777" w:rsidR="00392057" w:rsidRDefault="00392057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809E2" w14:textId="77777777" w:rsidR="00392057" w:rsidRDefault="00392057" w:rsidP="002030C3">
      <w:r>
        <w:separator/>
      </w:r>
    </w:p>
  </w:footnote>
  <w:footnote w:type="continuationSeparator" w:id="0">
    <w:p w14:paraId="28CDC0E9" w14:textId="77777777" w:rsidR="00392057" w:rsidRDefault="00392057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GB" w:eastAsia="zh-CN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024C3E"/>
    <w:rsid w:val="00060112"/>
    <w:rsid w:val="0006089A"/>
    <w:rsid w:val="000A6303"/>
    <w:rsid w:val="00124901"/>
    <w:rsid w:val="001552B9"/>
    <w:rsid w:val="001A2CC9"/>
    <w:rsid w:val="00200BE9"/>
    <w:rsid w:val="002030C3"/>
    <w:rsid w:val="0029766F"/>
    <w:rsid w:val="002D1EB2"/>
    <w:rsid w:val="002D3357"/>
    <w:rsid w:val="00332C1A"/>
    <w:rsid w:val="00392057"/>
    <w:rsid w:val="003B2A69"/>
    <w:rsid w:val="003B2DC3"/>
    <w:rsid w:val="004364B8"/>
    <w:rsid w:val="004913AF"/>
    <w:rsid w:val="004C7D2E"/>
    <w:rsid w:val="004D3515"/>
    <w:rsid w:val="0051732E"/>
    <w:rsid w:val="00527AB6"/>
    <w:rsid w:val="00542F88"/>
    <w:rsid w:val="0055247D"/>
    <w:rsid w:val="00610687"/>
    <w:rsid w:val="00635A2D"/>
    <w:rsid w:val="00651567"/>
    <w:rsid w:val="00681DC1"/>
    <w:rsid w:val="006B0B03"/>
    <w:rsid w:val="006E2476"/>
    <w:rsid w:val="007044CF"/>
    <w:rsid w:val="0072737C"/>
    <w:rsid w:val="00735339"/>
    <w:rsid w:val="007B7791"/>
    <w:rsid w:val="007C103A"/>
    <w:rsid w:val="007C6AAC"/>
    <w:rsid w:val="007E350E"/>
    <w:rsid w:val="0084723D"/>
    <w:rsid w:val="008A2FAF"/>
    <w:rsid w:val="008C5A6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A6ACA"/>
    <w:rsid w:val="00C6350A"/>
    <w:rsid w:val="00C63BEF"/>
    <w:rsid w:val="00D125D3"/>
    <w:rsid w:val="00DC350E"/>
    <w:rsid w:val="00E10070"/>
    <w:rsid w:val="00E24BB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soon@fjc.net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Maria Yelavich</cp:lastModifiedBy>
  <cp:revision>3</cp:revision>
  <dcterms:created xsi:type="dcterms:W3CDTF">2022-11-03T08:20:00Z</dcterms:created>
  <dcterms:modified xsi:type="dcterms:W3CDTF">2022-11-03T08:26:00Z</dcterms:modified>
</cp:coreProperties>
</file>